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优化审批服务事项落实要求</w:t>
      </w:r>
    </w:p>
    <w:p>
      <w:pPr>
        <w:spacing w:line="560" w:lineRule="exact"/>
        <w:jc w:val="left"/>
        <w:rPr>
          <w:rFonts w:hint="eastAsia" w:ascii="仿宋_GB2312" w:hAnsi="仿宋_GB2312" w:eastAsia="仿宋_GB2312" w:cs="仿宋_GB2312"/>
          <w:sz w:val="32"/>
          <w:szCs w:val="40"/>
        </w:rPr>
      </w:pP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2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2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20" w:lineRule="exact"/>
        <w:ind w:firstLine="640" w:firstLineChars="200"/>
        <w:jc w:val="left"/>
        <w:rPr>
          <w:rFonts w:ascii="黑体" w:hAnsi="黑体" w:eastAsia="黑体" w:cs="黑体"/>
          <w:sz w:val="32"/>
          <w:szCs w:val="40"/>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 xml:space="preserve"> 麻醉药品和第一类精神药品批发企业审批  </w:t>
      </w: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2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2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麻醉药品和精神药品管理条例》（2005年8月3日国务院令第442号，2016年2月6日予以修改）第二十四条：跨省、自治区、直辖市从事麻醉药品和第一类精神药品批发业务的企业（以下称全国性批发企业），应当经国务院药品监督管理部门批准；在本省、自治区、直辖市行政区域内从事麻醉药品和第一类精神药品批发业务的企业（以下称区域性批发企业），应当经所在地省、自治区、直辖市人民政府药品监督管理部门批准。专门从事第二类精神药品批发业务的企业，应当经所在地省、自治区、直辖市人民政府药品监督管理部门批准。全国性批发企业和区域性批发企业可以从事第二类精神药品批发业务。</w:t>
      </w: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麻醉药品和精神药品定点批发企业除应当具备药品管理法第十五条规定的药品经营企业的开办条件外，还应当具备下列条件：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1.有符合条例规定的麻醉药品和第一类精神药品储存条件；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2.有通过网络实施企业安全管理和向药品监督管理部门报告经营信息的能力；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3.单位及其工作人员2年内没有违反有关禁毒的法律、行政法规规定的行为；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4.符合国务院药品监督管理部门公布的定点批发企业布局。 </w:t>
      </w: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20" w:lineRule="exact"/>
        <w:ind w:firstLine="640" w:firstLineChars="200"/>
        <w:jc w:val="left"/>
        <w:rPr>
          <w:rFonts w:ascii="仿宋_GB2312" w:hAnsi="仿宋_GB2312" w:eastAsia="仿宋_GB2312" w:cs="仿宋_GB2312"/>
          <w:sz w:val="32"/>
          <w:szCs w:val="32"/>
        </w:rPr>
      </w:pPr>
      <w:r>
        <w:rPr>
          <w:rFonts w:ascii="仿宋_GB2312" w:hAnsi="仿宋_GB2312" w:eastAsia="仿宋_GB2312" w:cs="仿宋_GB2312"/>
          <w:sz w:val="32"/>
          <w:szCs w:val="32"/>
        </w:rPr>
        <w:t>细化委托审批事项流程及程序，完善特殊管理药品办事指南。不再要求申请人提供药品经营许可证、药品经营质量管理规范（GSP）证书等材料。</w:t>
      </w:r>
    </w:p>
    <w:p>
      <w:pPr>
        <w:spacing w:line="52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应当提交下列材料：</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1.申报麻醉药品和第一类精神药品定点经营申请表</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2.企业营业执照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3.法人委托书（企业如拟由分支机构承担经营活动，应当出具法人委托书）</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4.企业经营规模、效益等经济指标情况说明</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5.会计师事务所出具的财务资产负债表</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6.税务部门出具的报税证明</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7.现代物流体系和配送能力说明 仓库储存条件说明</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8.企业周边环境图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9.总平面布置图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10.仓储平面布置图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11.经营场所平面布置图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12.库房租赁合同 房屋所有权证</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13.储存设施、设备目录，安全设施明细</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14.安全运输设备明细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15.企业以及其工作人员最近2年内没有违反有关禁毒法律、行政法规规定行为的情况说明</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16.企业麻醉药品和精神药品管理的组织机构图</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17.法定代表人身份证明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18.企业负责人学历证明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19.企业负责人职称证书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20.质量负责人学历证明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21.质量管理部门人员学历证明</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22.特殊药品经营管理人员学历证明</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23.从业人员花名册 </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24.麻醉药品、一类精神药品管理制度</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25.向药品监督管理部门或其指定机构报送经营信息的网络说明材料</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26.企业报送经营信息网络操作手册</w:t>
      </w:r>
    </w:p>
    <w:p>
      <w:pPr>
        <w:spacing w:line="52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27.申请材料真实性的自我保证声明，并对材料作出如有虚假承担法律责任的承诺</w:t>
      </w:r>
    </w:p>
    <w:p>
      <w:pPr>
        <w:spacing w:line="520" w:lineRule="exact"/>
        <w:ind w:firstLine="640" w:firstLineChars="200"/>
        <w:jc w:val="left"/>
        <w:rPr>
          <w:rFonts w:hint="eastAsia" w:ascii="黑体" w:hAnsi="黑体" w:eastAsia="黑体" w:cs="黑体"/>
          <w:sz w:val="32"/>
          <w:szCs w:val="40"/>
        </w:rPr>
      </w:pPr>
      <w:r>
        <w:rPr>
          <w:rFonts w:hint="eastAsia" w:ascii="仿宋_GB2312" w:hAnsi="仿宋_GB2312" w:eastAsia="仿宋_GB2312" w:cs="仿宋_GB2312"/>
          <w:sz w:val="32"/>
          <w:szCs w:val="32"/>
        </w:rPr>
        <w:t xml:space="preserve">28.授权委托书 </w: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方正小标宋简体" w:hAnsi="方正小标宋简体" w:eastAsia="方正小标宋简体" w:cs="方正小标宋简体"/>
          <w:sz w:val="36"/>
          <w:szCs w:val="36"/>
        </w:rPr>
      </w:pPr>
      <w:r>
        <w:rPr>
          <w:rFonts w:hint="eastAsia" w:ascii="黑体" w:hAnsi="黑体" w:eastAsia="黑体" w:cs="黑体"/>
          <w:sz w:val="32"/>
          <w:szCs w:val="40"/>
        </w:rPr>
        <w:t>九、办理流程图</w:t>
      </w:r>
    </w:p>
    <w:p>
      <w:pPr>
        <w:jc w:val="center"/>
        <w:rPr>
          <w:rFonts w:hint="eastAsia" w:ascii="方正小标宋简体" w:hAnsi="方正小标宋简体" w:eastAsia="方正小标宋简体" w:cs="方正小标宋简体"/>
          <w:sz w:val="32"/>
          <w:szCs w:val="32"/>
        </w:rPr>
      </w:pPr>
      <w:r>
        <w:rPr>
          <w:rFonts w:hint="eastAsia" w:ascii="方正小标宋简体" w:hAnsi="方正小标宋简体" w:eastAsia="方正小标宋简体" w:cs="方正小标宋简体"/>
          <w:sz w:val="32"/>
          <w:szCs w:val="32"/>
        </w:rPr>
        <w:t>麻醉药品和第一类精神药品批发企业审批事项办理流程图</w:t>
      </w:r>
    </w:p>
    <w:p>
      <w:pPr>
        <w:jc w:val="center"/>
        <w:rPr>
          <w:rFonts w:hint="eastAsia" w:ascii="黑体" w:hAnsi="黑体" w:eastAsia="黑体" w:cs="黑体"/>
          <w:sz w:val="32"/>
          <w:szCs w:val="40"/>
        </w:rPr>
      </w:pPr>
      <w:r>
        <w:rPr>
          <w:rFonts w:hint="eastAsia" w:ascii="黑体" w:hAnsi="黑体" w:eastAsia="黑体" w:cs="黑体"/>
          <w:sz w:val="32"/>
          <w:szCs w:val="40"/>
        </w:rPr>
        <w:drawing>
          <wp:anchor distT="0" distB="0" distL="114300" distR="114300" simplePos="0" relativeHeight="251659264" behindDoc="0" locked="0" layoutInCell="1" allowOverlap="1">
            <wp:simplePos x="0" y="0"/>
            <wp:positionH relativeFrom="column">
              <wp:posOffset>130175</wp:posOffset>
            </wp:positionH>
            <wp:positionV relativeFrom="paragraph">
              <wp:posOffset>260985</wp:posOffset>
            </wp:positionV>
            <wp:extent cx="4981575" cy="5372100"/>
            <wp:effectExtent l="0" t="0" r="9525" b="0"/>
            <wp:wrapTopAndBottom/>
            <wp:docPr id="1" name="图片 2" descr="16326370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32637018(1)"/>
                    <pic:cNvPicPr>
                      <a:picLocks noChangeAspect="1"/>
                    </pic:cNvPicPr>
                  </pic:nvPicPr>
                  <pic:blipFill>
                    <a:blip r:embed="rId4"/>
                    <a:srcRect t="9760"/>
                    <a:stretch>
                      <a:fillRect/>
                    </a:stretch>
                  </pic:blipFill>
                  <pic:spPr>
                    <a:xfrm>
                      <a:off x="0" y="0"/>
                      <a:ext cx="4981575" cy="5372100"/>
                    </a:xfrm>
                    <a:prstGeom prst="rect">
                      <a:avLst/>
                    </a:prstGeom>
                    <a:noFill/>
                    <a:ln>
                      <a:noFill/>
                    </a:ln>
                  </pic:spPr>
                </pic:pic>
              </a:graphicData>
            </a:graphic>
          </wp:anchor>
        </w:drawing>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十、加强事中事后监管措施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1.严格执行有关法律法规和规章，对特殊药品生产、经营企业加强监管。</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2.实施重点监管，发现违法违规行为要依法严查重处。</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3.及时向社会公开许可信息，加强社会监督。</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8F1BCB"/>
    <w:rsid w:val="707F3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2021-10-12T01:44:34Z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F7559307E9F7490AB31C26113F3A6B31</vt:lpwstr>
  </property>
</Properties>
</file>